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2" w:rsidRDefault="00EB0C52" w:rsidP="00EB0C52">
      <w:pPr>
        <w:widowControl/>
        <w:jc w:val="center"/>
        <w:rPr>
          <w:rFonts w:eastAsia="標楷體" w:hAnsi="標楷體"/>
          <w:sz w:val="18"/>
          <w:szCs w:val="18"/>
        </w:rPr>
      </w:pPr>
      <w:r w:rsidRPr="00D75F1D">
        <w:rPr>
          <w:rFonts w:eastAsia="標楷體" w:hint="eastAsia"/>
          <w:b/>
          <w:sz w:val="28"/>
          <w:szCs w:val="28"/>
        </w:rPr>
        <w:t>行為功能介入方案</w:t>
      </w:r>
      <w:r>
        <w:rPr>
          <w:rFonts w:eastAsia="標楷體" w:hAnsi="標楷體" w:hint="eastAsia"/>
          <w:sz w:val="18"/>
          <w:szCs w:val="18"/>
        </w:rPr>
        <w:t>附表二</w:t>
      </w:r>
      <w:r w:rsidRPr="00DA7934">
        <w:rPr>
          <w:rFonts w:eastAsia="標楷體" w:hAnsi="標楷體" w:hint="eastAsia"/>
          <w:sz w:val="18"/>
          <w:szCs w:val="18"/>
        </w:rPr>
        <w:t>：教師教學與班級經營策略表</w:t>
      </w:r>
    </w:p>
    <w:p w:rsidR="00DC38E9" w:rsidRPr="00092F52" w:rsidRDefault="00DC38E9" w:rsidP="00DC38E9">
      <w:pPr>
        <w:tabs>
          <w:tab w:val="left" w:pos="1440"/>
        </w:tabs>
        <w:spacing w:line="360" w:lineRule="exact"/>
        <w:rPr>
          <w:rFonts w:ascii="Times New Roman" w:eastAsia="標楷體" w:hAnsi="Times New Roman"/>
        </w:rPr>
      </w:pPr>
      <w:r w:rsidRPr="00092F52">
        <w:rPr>
          <w:rFonts w:ascii="Times New Roman" w:eastAsia="標楷體" w:hAnsi="Times New Roman" w:hint="eastAsia"/>
        </w:rPr>
        <w:t>學生姓名：</w:t>
      </w:r>
      <w:r w:rsidRPr="00092F52">
        <w:rPr>
          <w:rFonts w:ascii="Times New Roman" w:eastAsia="標楷體" w:hAnsi="Times New Roman"/>
        </w:rPr>
        <w:t>________</w:t>
      </w:r>
      <w:r w:rsidRPr="00092F52">
        <w:rPr>
          <w:rFonts w:ascii="Times New Roman" w:eastAsia="標楷體" w:hAnsi="Times New Roman" w:hint="eastAsia"/>
        </w:rPr>
        <w:t xml:space="preserve">  </w:t>
      </w:r>
      <w:r w:rsidRPr="00092F52">
        <w:rPr>
          <w:rFonts w:ascii="Times New Roman" w:eastAsia="標楷體" w:hAnsi="Times New Roman" w:hint="eastAsia"/>
        </w:rPr>
        <w:t>性別：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男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女</w:t>
      </w:r>
      <w:r w:rsidRPr="00092F52">
        <w:rPr>
          <w:rFonts w:ascii="Times New Roman" w:eastAsia="標楷體" w:hAnsi="Times New Roman"/>
        </w:rPr>
        <w:t xml:space="preserve">  </w:t>
      </w:r>
      <w:proofErr w:type="gramStart"/>
      <w:r w:rsidRPr="00092F52">
        <w:rPr>
          <w:rFonts w:ascii="Times New Roman" w:eastAsia="標楷體" w:hAnsi="Times New Roman" w:hint="eastAsia"/>
        </w:rPr>
        <w:t>部</w:t>
      </w:r>
      <w:r w:rsidRPr="00092F52">
        <w:rPr>
          <w:rFonts w:ascii="Times New Roman" w:eastAsia="標楷體" w:hAnsi="Times New Roman"/>
        </w:rPr>
        <w:t>別</w:t>
      </w:r>
      <w:proofErr w:type="gramEnd"/>
      <w:r w:rsidRPr="00092F52">
        <w:rPr>
          <w:rFonts w:ascii="Times New Roman" w:eastAsia="標楷體" w:hAnsi="Times New Roman" w:hint="eastAsia"/>
        </w:rPr>
        <w:t>：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高中職</w:t>
      </w:r>
      <w:r w:rsidRPr="00092F52">
        <w:rPr>
          <w:rFonts w:ascii="Times New Roman" w:eastAsia="標楷體" w:hAnsi="Times New Roman"/>
        </w:rPr>
        <w:t xml:space="preserve">  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國中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國小及學前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Times New Roman" w:eastAsia="標楷體" w:hAnsi="Times New Roman" w:hint="eastAsia"/>
        </w:rPr>
        <w:t>班</w:t>
      </w:r>
      <w:r w:rsidRPr="00092F52">
        <w:rPr>
          <w:rFonts w:ascii="Times New Roman" w:eastAsia="標楷體" w:hAnsi="Times New Roman"/>
        </w:rPr>
        <w:t>別：</w:t>
      </w:r>
      <w:r w:rsidRPr="00092F52">
        <w:rPr>
          <w:rFonts w:ascii="Times New Roman" w:eastAsia="標楷體" w:hAnsi="Times New Roman"/>
        </w:rPr>
        <w:t xml:space="preserve">___________ </w:t>
      </w:r>
    </w:p>
    <w:p w:rsidR="00EB0C52" w:rsidRPr="00DC38E9" w:rsidRDefault="00DC38E9" w:rsidP="00EB0C52">
      <w:pPr>
        <w:tabs>
          <w:tab w:val="left" w:pos="1440"/>
        </w:tabs>
        <w:spacing w:line="360" w:lineRule="exact"/>
        <w:rPr>
          <w:rFonts w:ascii="Times New Roman" w:eastAsia="標楷體" w:hAnsi="Times New Roman"/>
        </w:rPr>
      </w:pPr>
      <w:r w:rsidRPr="00092F52">
        <w:rPr>
          <w:rFonts w:ascii="Times New Roman" w:eastAsia="標楷體" w:hAnsi="Times New Roman" w:hint="eastAsia"/>
        </w:rPr>
        <w:t>評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Times New Roman" w:eastAsia="標楷體" w:hAnsi="Times New Roman" w:hint="eastAsia"/>
        </w:rPr>
        <w:t>估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Times New Roman" w:eastAsia="標楷體" w:hAnsi="Times New Roman" w:hint="eastAsia"/>
        </w:rPr>
        <w:t>者：</w:t>
      </w:r>
      <w:r w:rsidRPr="00092F52">
        <w:rPr>
          <w:rFonts w:ascii="Times New Roman" w:eastAsia="標楷體" w:hAnsi="Times New Roman"/>
        </w:rPr>
        <w:t xml:space="preserve">________________  </w:t>
      </w:r>
      <w:r w:rsidRPr="00092F52">
        <w:rPr>
          <w:rFonts w:ascii="Times New Roman" w:eastAsia="標楷體" w:hAnsi="Times New Roman" w:hint="eastAsia"/>
        </w:rPr>
        <w:t>評量日期：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年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月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日至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年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月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日</w:t>
      </w:r>
    </w:p>
    <w:tbl>
      <w:tblPr>
        <w:tblpPr w:leftFromText="180" w:rightFromText="180" w:vertAnchor="text" w:horzAnchor="margin" w:tblpY="107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709"/>
        <w:gridCol w:w="567"/>
        <w:gridCol w:w="567"/>
        <w:gridCol w:w="567"/>
        <w:gridCol w:w="2552"/>
        <w:gridCol w:w="567"/>
        <w:gridCol w:w="708"/>
        <w:gridCol w:w="567"/>
        <w:gridCol w:w="567"/>
        <w:gridCol w:w="567"/>
        <w:gridCol w:w="2835"/>
      </w:tblGrid>
      <w:tr w:rsidR="00EB0C52" w:rsidRPr="00544AFC" w:rsidTr="00652C21">
        <w:trPr>
          <w:cantSplit/>
          <w:trHeight w:val="3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A2998">
              <w:rPr>
                <w:rFonts w:ascii="標楷體" w:eastAsia="標楷體" w:hAnsi="標楷體" w:hint="eastAsia"/>
                <w:bCs/>
                <w:sz w:val="20"/>
                <w:szCs w:val="20"/>
              </w:rPr>
              <w:t>有實施</w:t>
            </w:r>
          </w:p>
          <w:p w:rsidR="00EB0C52" w:rsidRPr="00544AFC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(勾選)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sz w:val="20"/>
                <w:szCs w:val="20"/>
              </w:rPr>
              <w:t>實施成效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4AF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有</w:t>
            </w: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實施</w:t>
            </w:r>
          </w:p>
          <w:p w:rsidR="00EB0C52" w:rsidRPr="00544AFC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(勾選)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sz w:val="20"/>
                <w:szCs w:val="20"/>
              </w:rPr>
              <w:t>實施成效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Pr="00475C8A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</w:rPr>
            </w:pPr>
            <w:r w:rsidRPr="00544AFC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0C52" w:rsidRPr="00544AFC" w:rsidTr="00652C21">
        <w:trPr>
          <w:cantSplit/>
          <w:trHeight w:val="442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有成效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無</w:t>
            </w: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有成效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52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  <w:p w:rsidR="00EB0C52" w:rsidRPr="00544AFC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無</w:t>
            </w: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B0C52" w:rsidRPr="007622F7" w:rsidTr="00652C21">
        <w:trPr>
          <w:cantSplit/>
          <w:trHeight w:val="20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proofErr w:type="gramStart"/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ㄧ</w:t>
            </w:r>
            <w:proofErr w:type="gramEnd"/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建立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接納的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班級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環境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tabs>
                <w:tab w:val="left" w:pos="3450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經常的鼓勵與讚美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四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 xml:space="preserve">、 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有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proofErr w:type="gramStart"/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效</w:t>
            </w:r>
            <w:proofErr w:type="gramEnd"/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教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  <w:shd w:val="pct15" w:color="auto" w:fill="FFFFFF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每節課均明示教學目標</w:t>
            </w:r>
          </w:p>
        </w:tc>
      </w:tr>
      <w:tr w:rsidR="00EB0C52" w:rsidRPr="007622F7" w:rsidTr="00652C21">
        <w:trPr>
          <w:cantSplit/>
          <w:trHeight w:val="23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2043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指導與</w:t>
            </w:r>
            <w:r w:rsidRPr="007622F7">
              <w:rPr>
                <w:rFonts w:ascii="標楷體" w:eastAsia="標楷體" w:hAnsi="標楷體" w:hint="eastAsia"/>
                <w:bCs/>
                <w:sz w:val="22"/>
              </w:rPr>
              <w:t>示範如何與</w:t>
            </w:r>
            <w:r>
              <w:rPr>
                <w:rFonts w:ascii="標楷體" w:eastAsia="標楷體" w:hAnsi="標楷體" w:hint="eastAsia"/>
                <w:bCs/>
                <w:sz w:val="22"/>
              </w:rPr>
              <w:t>同儕</w:t>
            </w:r>
            <w:r w:rsidRPr="007622F7">
              <w:rPr>
                <w:rFonts w:ascii="標楷體" w:eastAsia="標楷體" w:hAnsi="標楷體" w:hint="eastAsia"/>
                <w:bCs/>
                <w:sz w:val="22"/>
              </w:rPr>
              <w:t>相處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上課提供有系統、結構的教學</w:t>
            </w:r>
            <w:r w:rsidRPr="00104C6A">
              <w:rPr>
                <w:rFonts w:ascii="標楷體" w:eastAsia="標楷體" w:hAnsi="標楷體" w:hint="eastAsia"/>
                <w:sz w:val="22"/>
              </w:rPr>
              <w:t>程序</w:t>
            </w:r>
          </w:p>
        </w:tc>
      </w:tr>
      <w:tr w:rsidR="00EB0C52" w:rsidRPr="007622F7" w:rsidTr="00652C21">
        <w:trPr>
          <w:cantSplit/>
          <w:trHeight w:val="23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引導同儕支持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利用教</w:t>
            </w:r>
            <w:r w:rsidRPr="007622F7">
              <w:rPr>
                <w:rFonts w:ascii="標楷體" w:eastAsia="標楷體" w:hAnsi="標楷體" w:hint="eastAsia"/>
                <w:sz w:val="22"/>
              </w:rPr>
              <w:t>具、媒材提升學習動機</w:t>
            </w:r>
          </w:p>
        </w:tc>
      </w:tr>
      <w:tr w:rsidR="00EB0C52" w:rsidRPr="007622F7" w:rsidTr="00652C21">
        <w:trPr>
          <w:cantSplit/>
          <w:trHeight w:val="23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提供學生參與各項活動機會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教學設計穿插多元動態活動</w:t>
            </w:r>
          </w:p>
        </w:tc>
      </w:tr>
      <w:tr w:rsidR="00EB0C52" w:rsidRPr="007622F7" w:rsidTr="00652C21">
        <w:trPr>
          <w:cantSplit/>
          <w:trHeight w:val="44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讓學生</w:t>
            </w:r>
            <w:r w:rsidRPr="004F340D">
              <w:rPr>
                <w:rFonts w:ascii="標楷體" w:eastAsia="標楷體" w:hAnsi="標楷體" w:hint="eastAsia"/>
                <w:sz w:val="22"/>
              </w:rPr>
              <w:t>在</w:t>
            </w:r>
            <w:r w:rsidRPr="007622F7">
              <w:rPr>
                <w:rFonts w:ascii="標楷體" w:eastAsia="標楷體" w:hAnsi="標楷體" w:hint="eastAsia"/>
                <w:sz w:val="22"/>
              </w:rPr>
              <w:t>班級有歸屬感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教導學習策略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7622F7">
              <w:rPr>
                <w:rFonts w:ascii="標楷體" w:eastAsia="標楷體" w:hAnsi="標楷體" w:hint="eastAsia"/>
                <w:sz w:val="22"/>
              </w:rPr>
              <w:t>如：標示重點、引導做筆記、教導製作備忘錄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  <w:tr w:rsidR="00EB0C52" w:rsidRPr="007622F7" w:rsidTr="00652C21">
        <w:trPr>
          <w:cantSplit/>
          <w:trHeight w:val="18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二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、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調整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物理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環境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安排</w:t>
            </w:r>
            <w:r>
              <w:rPr>
                <w:rFonts w:ascii="標楷體" w:eastAsia="標楷體" w:hAnsi="標楷體" w:hint="eastAsia"/>
                <w:sz w:val="22"/>
              </w:rPr>
              <w:t>對</w:t>
            </w:r>
            <w:r w:rsidRPr="004F340D">
              <w:rPr>
                <w:rFonts w:ascii="標楷體" w:eastAsia="標楷體" w:hAnsi="標楷體" w:hint="eastAsia"/>
                <w:sz w:val="22"/>
              </w:rPr>
              <w:t>學生</w:t>
            </w:r>
            <w:r>
              <w:rPr>
                <w:rFonts w:ascii="標楷體" w:eastAsia="標楷體" w:hAnsi="標楷體" w:hint="eastAsia"/>
                <w:sz w:val="22"/>
              </w:rPr>
              <w:t>有利</w:t>
            </w:r>
            <w:r w:rsidRPr="004F340D">
              <w:rPr>
                <w:rFonts w:ascii="標楷體" w:eastAsia="標楷體" w:hAnsi="標楷體" w:hint="eastAsia"/>
                <w:sz w:val="22"/>
              </w:rPr>
              <w:t>的</w:t>
            </w:r>
            <w:r w:rsidRPr="007622F7">
              <w:rPr>
                <w:rFonts w:ascii="標楷體" w:eastAsia="標楷體" w:hAnsi="標楷體" w:hint="eastAsia"/>
                <w:sz w:val="22"/>
              </w:rPr>
              <w:t>座位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對重要技能提供足夠練習機會</w:t>
            </w:r>
          </w:p>
        </w:tc>
      </w:tr>
      <w:tr w:rsidR="00EB0C52" w:rsidRPr="007622F7" w:rsidTr="00652C21">
        <w:trPr>
          <w:cantSplit/>
          <w:trHeight w:val="31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12" w:space="0" w:color="auto"/>
            </w:tcBorders>
            <w:vAlign w:val="center"/>
          </w:tcPr>
          <w:p w:rsidR="00EB0C52" w:rsidRPr="00A8686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提供</w:t>
            </w:r>
            <w:r w:rsidRPr="004F340D">
              <w:rPr>
                <w:rFonts w:ascii="標楷體" w:eastAsia="標楷體" w:hAnsi="標楷體" w:hint="eastAsia"/>
                <w:sz w:val="22"/>
              </w:rPr>
              <w:t>必要的</w:t>
            </w:r>
            <w:r w:rsidRPr="007622F7">
              <w:rPr>
                <w:rFonts w:ascii="標楷體" w:eastAsia="標楷體" w:hAnsi="標楷體" w:hint="eastAsia"/>
                <w:sz w:val="22"/>
              </w:rPr>
              <w:t>提示卡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依據個別化教育計畫，</w:t>
            </w:r>
            <w:r w:rsidRPr="0063314C">
              <w:rPr>
                <w:rFonts w:ascii="標楷體" w:eastAsia="標楷體" w:hAnsi="標楷體" w:hint="eastAsia"/>
                <w:sz w:val="22"/>
              </w:rPr>
              <w:t>調整</w:t>
            </w:r>
            <w:r w:rsidRPr="007622F7">
              <w:rPr>
                <w:rFonts w:ascii="標楷體" w:eastAsia="標楷體" w:hAnsi="標楷體" w:hint="eastAsia"/>
                <w:sz w:val="22"/>
              </w:rPr>
              <w:t>作業的質/量或呈現方式</w:t>
            </w:r>
          </w:p>
        </w:tc>
      </w:tr>
      <w:tr w:rsidR="00EB0C52" w:rsidRPr="007622F7" w:rsidTr="00652C21">
        <w:trPr>
          <w:cantSplit/>
          <w:trHeight w:val="16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提示明確課表及班級常規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依據個別化教育計畫，</w:t>
            </w:r>
            <w:r w:rsidRPr="0063314C">
              <w:rPr>
                <w:rFonts w:ascii="標楷體" w:eastAsia="標楷體" w:hAnsi="標楷體" w:hint="eastAsia"/>
                <w:sz w:val="22"/>
              </w:rPr>
              <w:t>調整</w:t>
            </w:r>
            <w:r w:rsidRPr="007622F7">
              <w:rPr>
                <w:rFonts w:ascii="標楷體" w:eastAsia="標楷體" w:hAnsi="標楷體" w:hint="eastAsia"/>
                <w:sz w:val="22"/>
              </w:rPr>
              <w:t>評量方式</w:t>
            </w:r>
          </w:p>
        </w:tc>
      </w:tr>
      <w:tr w:rsidR="00EB0C52" w:rsidRPr="007622F7" w:rsidTr="00652C21">
        <w:trPr>
          <w:cantSplit/>
          <w:trHeight w:val="20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提供必要的</w:t>
            </w:r>
            <w:r w:rsidRPr="007622F7">
              <w:rPr>
                <w:rFonts w:ascii="標楷體" w:eastAsia="標楷體" w:hAnsi="標楷體" w:hint="eastAsia"/>
                <w:bCs/>
                <w:sz w:val="22"/>
              </w:rPr>
              <w:t>輔具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提供個別化的獎勵</w:t>
            </w:r>
          </w:p>
        </w:tc>
      </w:tr>
      <w:tr w:rsidR="00EB0C52" w:rsidRPr="007622F7" w:rsidTr="00652C21">
        <w:trPr>
          <w:cantSplit/>
          <w:trHeight w:val="456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proofErr w:type="gramStart"/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三</w:t>
            </w:r>
            <w:proofErr w:type="gramEnd"/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行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為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管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理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確定學生注意聽後才給予指令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允許學生在不干擾上課的情況下，暫時不參與學習</w:t>
            </w:r>
          </w:p>
        </w:tc>
      </w:tr>
      <w:tr w:rsidR="00EB0C52" w:rsidRPr="007622F7" w:rsidTr="00652C21">
        <w:trPr>
          <w:cantSplit/>
          <w:trHeight w:val="60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對於</w:t>
            </w:r>
            <w:r>
              <w:rPr>
                <w:rFonts w:ascii="標楷體" w:eastAsia="標楷體" w:hAnsi="標楷體" w:hint="eastAsia"/>
                <w:sz w:val="22"/>
              </w:rPr>
              <w:t>例行事務的變動</w:t>
            </w:r>
            <w:r w:rsidRPr="00BB0A84">
              <w:rPr>
                <w:rFonts w:ascii="標楷體" w:eastAsia="標楷體" w:hAnsi="標楷體" w:hint="eastAsia"/>
                <w:sz w:val="22"/>
              </w:rPr>
              <w:t>需事先預告</w:t>
            </w:r>
            <w:r>
              <w:rPr>
                <w:rFonts w:ascii="標楷體" w:eastAsia="標楷體" w:hAnsi="標楷體" w:hint="eastAsia"/>
                <w:sz w:val="22"/>
              </w:rPr>
              <w:t>，如:班級作息、學校活動</w:t>
            </w:r>
            <w:r>
              <w:rPr>
                <w:rFonts w:ascii="標楷體" w:eastAsia="標楷體" w:hAnsi="標楷體"/>
                <w:sz w:val="22"/>
              </w:rPr>
              <w:t>…</w:t>
            </w:r>
            <w:r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安排同儕小老師</w:t>
            </w:r>
          </w:p>
        </w:tc>
      </w:tr>
      <w:tr w:rsidR="00EB0C52" w:rsidRPr="007622F7" w:rsidTr="00652C21">
        <w:trPr>
          <w:cantSplit/>
          <w:trHeight w:val="203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提供學生有選擇的機會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提供額外補救教學</w:t>
            </w:r>
          </w:p>
        </w:tc>
      </w:tr>
      <w:tr w:rsidR="00EB0C52" w:rsidRPr="007622F7" w:rsidTr="00652C21">
        <w:trPr>
          <w:cantSplit/>
          <w:trHeight w:val="24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能適時處理學生的情緒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五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親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師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溝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通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了解家長</w:t>
            </w:r>
            <w:r w:rsidRPr="00C74F02">
              <w:rPr>
                <w:rFonts w:ascii="標楷體" w:eastAsia="標楷體" w:hAnsi="標楷體" w:hint="eastAsia"/>
                <w:sz w:val="22"/>
              </w:rPr>
              <w:t>對學生特殊需求的認</w:t>
            </w:r>
            <w:r>
              <w:rPr>
                <w:rFonts w:ascii="標楷體" w:eastAsia="標楷體" w:hAnsi="標楷體" w:hint="eastAsia"/>
                <w:sz w:val="22"/>
              </w:rPr>
              <w:t>識</w:t>
            </w:r>
          </w:p>
        </w:tc>
      </w:tr>
      <w:tr w:rsidR="00EB0C52" w:rsidRPr="007622F7" w:rsidTr="00652C21">
        <w:trPr>
          <w:cantSplit/>
          <w:trHeight w:val="268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必要時提供個別提示系統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主動讓</w:t>
            </w:r>
            <w:r w:rsidRPr="00C74F02">
              <w:rPr>
                <w:rFonts w:ascii="標楷體" w:eastAsia="標楷體" w:hAnsi="標楷體" w:hint="eastAsia"/>
                <w:sz w:val="22"/>
              </w:rPr>
              <w:t>家長</w:t>
            </w:r>
            <w:r>
              <w:rPr>
                <w:rFonts w:ascii="標楷體" w:eastAsia="標楷體" w:hAnsi="標楷體" w:hint="eastAsia"/>
                <w:sz w:val="22"/>
              </w:rPr>
              <w:t>知道</w:t>
            </w:r>
            <w:r w:rsidRPr="00C74F02">
              <w:rPr>
                <w:rFonts w:ascii="標楷體" w:eastAsia="標楷體" w:hAnsi="標楷體" w:hint="eastAsia"/>
                <w:sz w:val="22"/>
              </w:rPr>
              <w:t>學生在校狀況</w:t>
            </w:r>
          </w:p>
        </w:tc>
      </w:tr>
      <w:tr w:rsidR="00EB0C52" w:rsidRPr="007622F7" w:rsidTr="00652C21">
        <w:trPr>
          <w:cantSplit/>
          <w:trHeight w:val="496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對</w:t>
            </w:r>
            <w:r w:rsidRPr="007622F7">
              <w:rPr>
                <w:rFonts w:ascii="標楷體" w:eastAsia="標楷體" w:hAnsi="標楷體"/>
                <w:sz w:val="22"/>
              </w:rPr>
              <w:t>學生不合理的要求</w:t>
            </w:r>
            <w:r w:rsidRPr="007622F7">
              <w:rPr>
                <w:rFonts w:ascii="標楷體" w:eastAsia="標楷體" w:hAnsi="標楷體" w:hint="eastAsia"/>
                <w:sz w:val="22"/>
              </w:rPr>
              <w:t>，採取忽視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  <w:r w:rsidRPr="007622F7">
              <w:rPr>
                <w:rFonts w:ascii="標楷體" w:eastAsia="標楷體" w:hAnsi="標楷體" w:hint="eastAsia"/>
                <w:sz w:val="22"/>
              </w:rPr>
              <w:t>提示規則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  <w:r w:rsidRPr="007622F7">
              <w:rPr>
                <w:rFonts w:ascii="標楷體" w:eastAsia="標楷體" w:hAnsi="標楷體" w:hint="eastAsia"/>
                <w:sz w:val="22"/>
              </w:rPr>
              <w:t>讚美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務必發現孩子的正向表現，並主動告知家長</w:t>
            </w:r>
          </w:p>
        </w:tc>
      </w:tr>
      <w:tr w:rsidR="00EB0C52" w:rsidRPr="007622F7" w:rsidTr="00652C21">
        <w:trPr>
          <w:cantSplit/>
          <w:trHeight w:val="29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鼓勵完成學校交代的工作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與家長溝通建立合理的期待</w:t>
            </w:r>
          </w:p>
        </w:tc>
      </w:tr>
      <w:tr w:rsidR="00EB0C52" w:rsidRPr="007622F7" w:rsidTr="00652C21">
        <w:trPr>
          <w:cantSplit/>
          <w:trHeight w:val="18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inset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in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in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inset" w:sz="6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對正向行為提供頻繁、立即的回饋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inset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鼓勵、支持父母的參與</w:t>
            </w:r>
          </w:p>
        </w:tc>
      </w:tr>
      <w:tr w:rsidR="00EB0C52" w:rsidRPr="007622F7" w:rsidTr="00652C21">
        <w:trPr>
          <w:cantSplit/>
          <w:trHeight w:val="25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給予結構化的教學環境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建立親師溝通管道</w:t>
            </w:r>
            <w:proofErr w:type="gramStart"/>
            <w:r w:rsidRPr="00C74F02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C74F02">
              <w:rPr>
                <w:rFonts w:ascii="標楷體" w:eastAsia="標楷體" w:hAnsi="標楷體" w:hint="eastAsia"/>
                <w:sz w:val="22"/>
              </w:rPr>
              <w:t>如：提供聯絡方式</w:t>
            </w:r>
            <w:proofErr w:type="gramStart"/>
            <w:r w:rsidRPr="00C74F02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</w:tbl>
    <w:p w:rsidR="002A3477" w:rsidRDefault="002A3477" w:rsidP="002A3477">
      <w:r>
        <w:rPr>
          <w:rFonts w:ascii="Wingdings" w:eastAsia="Wingdings" w:hAnsi="Wingdings"/>
        </w:rPr>
        <w:t></w:t>
      </w:r>
      <w:r>
        <w:rPr>
          <w:rFonts w:hint="eastAsia"/>
        </w:rPr>
        <w:t>有</w:t>
      </w:r>
      <w:r>
        <w:t>改善</w:t>
      </w:r>
      <w:r w:rsidR="00CF13FA">
        <w:rPr>
          <w:rFonts w:hint="eastAsia"/>
        </w:rPr>
        <w:t>，</w:t>
      </w:r>
      <w:r w:rsidR="00CF13FA">
        <w:t>持續進行</w:t>
      </w:r>
      <w:r w:rsidR="00CF13FA">
        <w:rPr>
          <w:rFonts w:hint="eastAsia"/>
        </w:rPr>
        <w:t>調</w:t>
      </w:r>
      <w:r w:rsidR="00CF13FA">
        <w:t>整後之</w:t>
      </w:r>
      <w:r w:rsidR="00CF13FA">
        <w:rPr>
          <w:rFonts w:hint="eastAsia"/>
        </w:rPr>
        <w:t>有</w:t>
      </w:r>
      <w:r w:rsidR="00CF13FA">
        <w:t>效</w:t>
      </w:r>
      <w:r w:rsidR="00CF13FA">
        <w:rPr>
          <w:rFonts w:hint="eastAsia"/>
        </w:rPr>
        <w:t>教</w:t>
      </w:r>
      <w:r w:rsidR="00CF13FA">
        <w:t>學、班級經營</w:t>
      </w:r>
      <w:r w:rsidR="00CF13FA">
        <w:rPr>
          <w:rFonts w:hint="eastAsia"/>
        </w:rPr>
        <w:t>/</w:t>
      </w:r>
      <w:r w:rsidR="00CF13FA">
        <w:rPr>
          <w:rFonts w:hint="eastAsia"/>
        </w:rPr>
        <w:t>環</w:t>
      </w:r>
      <w:r w:rsidR="00CF13FA">
        <w:t>境、</w:t>
      </w:r>
      <w:r w:rsidR="00CF13FA">
        <w:rPr>
          <w:rFonts w:hint="eastAsia"/>
        </w:rPr>
        <w:t>物</w:t>
      </w:r>
      <w:r w:rsidR="00CF13FA">
        <w:t>理</w:t>
      </w:r>
      <w:r w:rsidR="00CF13FA">
        <w:rPr>
          <w:rFonts w:hint="eastAsia"/>
        </w:rPr>
        <w:t>環</w:t>
      </w:r>
      <w:r w:rsidR="00CF13FA">
        <w:t>境</w:t>
      </w:r>
      <w:r w:rsidR="00CF13FA">
        <w:rPr>
          <w:rFonts w:hint="eastAsia"/>
        </w:rPr>
        <w:t>、</w:t>
      </w:r>
      <w:r w:rsidR="00CF13FA">
        <w:t>行為管理</w:t>
      </w:r>
      <w:r w:rsidR="00CF13FA">
        <w:rPr>
          <w:rFonts w:hint="eastAsia"/>
        </w:rPr>
        <w:t>及</w:t>
      </w:r>
      <w:r w:rsidR="00CF13FA">
        <w:t>親師溝通方式</w:t>
      </w:r>
      <w:r>
        <w:rPr>
          <w:rFonts w:hint="eastAsia"/>
        </w:rPr>
        <w:t>。</w:t>
      </w:r>
    </w:p>
    <w:p w:rsidR="00EB0C52" w:rsidRDefault="002A3477" w:rsidP="00EB0C52">
      <w:r>
        <w:rPr>
          <w:rFonts w:ascii="Wingdings" w:eastAsia="Wingdings" w:hAnsi="Wingdings"/>
        </w:rPr>
        <w:t></w:t>
      </w:r>
      <w:r w:rsidRPr="007A0EA8">
        <w:rPr>
          <w:rFonts w:hint="eastAsia"/>
        </w:rPr>
        <w:t>成</w:t>
      </w:r>
      <w:r w:rsidRPr="007A0EA8">
        <w:t>效有限，</w:t>
      </w:r>
      <w:r w:rsidR="009B597E" w:rsidRPr="007A0EA8">
        <w:rPr>
          <w:rFonts w:hint="eastAsia"/>
        </w:rPr>
        <w:t>接</w:t>
      </w:r>
      <w:r w:rsidR="009B597E" w:rsidRPr="007A0EA8">
        <w:t>著</w:t>
      </w:r>
      <w:r w:rsidRPr="007A0EA8">
        <w:rPr>
          <w:rFonts w:hint="eastAsia"/>
        </w:rPr>
        <w:t>進行次</w:t>
      </w:r>
      <w:r w:rsidRPr="007A0EA8">
        <w:t>級預防，</w:t>
      </w:r>
      <w:r w:rsidRPr="007A0EA8">
        <w:rPr>
          <w:rFonts w:hint="eastAsia"/>
        </w:rPr>
        <w:t>對</w:t>
      </w:r>
      <w:r w:rsidRPr="007A0EA8">
        <w:t>於學生之行為進行</w:t>
      </w:r>
      <w:r w:rsidRPr="007A0EA8">
        <w:rPr>
          <w:rFonts w:hint="eastAsia"/>
        </w:rPr>
        <w:t>觀</w:t>
      </w:r>
      <w:r w:rsidRPr="007A0EA8">
        <w:t>察紀錄</w:t>
      </w:r>
      <w:r w:rsidRPr="007A0EA8">
        <w:rPr>
          <w:rFonts w:hint="eastAsia"/>
        </w:rPr>
        <w:t>、</w:t>
      </w:r>
      <w:r w:rsidRPr="007A0EA8">
        <w:t>前後事件紀錄、</w:t>
      </w:r>
      <w:r w:rsidRPr="007A0EA8">
        <w:rPr>
          <w:rFonts w:hint="eastAsia"/>
        </w:rPr>
        <w:t>行</w:t>
      </w:r>
      <w:r w:rsidRPr="007A0EA8">
        <w:t>為動機評量、</w:t>
      </w:r>
      <w:r w:rsidRPr="007A0EA8">
        <w:rPr>
          <w:rFonts w:hint="eastAsia"/>
        </w:rPr>
        <w:t>擬</w:t>
      </w:r>
      <w:r w:rsidRPr="007A0EA8">
        <w:t>定行為功能</w:t>
      </w:r>
      <w:r w:rsidRPr="007A0EA8">
        <w:rPr>
          <w:rFonts w:hint="eastAsia"/>
        </w:rPr>
        <w:t>介</w:t>
      </w:r>
      <w:r w:rsidRPr="007A0EA8">
        <w:t>入方案</w:t>
      </w:r>
      <w:r w:rsidRPr="007A0EA8">
        <w:rPr>
          <w:rFonts w:hint="eastAsia"/>
        </w:rPr>
        <w:t>PBS</w:t>
      </w:r>
      <w:r w:rsidRPr="007A0EA8">
        <w:rPr>
          <w:rFonts w:hint="eastAsia"/>
        </w:rPr>
        <w:t>。</w:t>
      </w:r>
    </w:p>
    <w:p w:rsidR="007A0EA8" w:rsidRDefault="007A0EA8" w:rsidP="00EB0C52">
      <w:pPr>
        <w:rPr>
          <w:rFonts w:hint="eastAsia"/>
        </w:rPr>
      </w:pPr>
      <w:bookmarkStart w:id="0" w:name="_GoBack"/>
      <w:bookmarkEnd w:id="0"/>
    </w:p>
    <w:p w:rsidR="00EB0C52" w:rsidRPr="009B4261" w:rsidRDefault="00EB0C52" w:rsidP="00EB0C52">
      <w:pPr>
        <w:pStyle w:val="a5"/>
        <w:jc w:val="center"/>
        <w:rPr>
          <w:color w:val="A6A6A6"/>
        </w:rPr>
      </w:pPr>
      <w:r>
        <w:tab/>
      </w:r>
      <w:r w:rsidRPr="009B4261">
        <w:rPr>
          <w:rFonts w:eastAsia="標楷體" w:hint="eastAsia"/>
          <w:color w:val="A6A6A6"/>
          <w:sz w:val="18"/>
          <w:szCs w:val="18"/>
        </w:rPr>
        <w:t>修改</w:t>
      </w:r>
      <w:proofErr w:type="gramStart"/>
      <w:r w:rsidRPr="009B4261">
        <w:rPr>
          <w:rFonts w:eastAsia="標楷體" w:hint="eastAsia"/>
          <w:color w:val="A6A6A6"/>
          <w:sz w:val="18"/>
          <w:szCs w:val="18"/>
        </w:rPr>
        <w:t>自</w:t>
      </w:r>
      <w:proofErr w:type="gramEnd"/>
      <w:r w:rsidRPr="009B4261">
        <w:rPr>
          <w:rFonts w:eastAsia="標楷體"/>
          <w:color w:val="A6A6A6"/>
        </w:rPr>
        <w:t>：洪儷瑜、鳳華、何美慧、張蓓莉、翁素珍（主編）（</w:t>
      </w:r>
      <w:r w:rsidRPr="009B4261">
        <w:rPr>
          <w:rFonts w:eastAsia="標楷體"/>
          <w:color w:val="A6A6A6"/>
        </w:rPr>
        <w:t>2018</w:t>
      </w:r>
      <w:r w:rsidRPr="009B4261">
        <w:rPr>
          <w:rFonts w:eastAsia="標楷體"/>
          <w:color w:val="A6A6A6"/>
        </w:rPr>
        <w:t>）。</w:t>
      </w:r>
      <w:r w:rsidRPr="009B4261">
        <w:rPr>
          <w:rFonts w:eastAsia="標楷體"/>
          <w:b/>
          <w:color w:val="A6A6A6"/>
        </w:rPr>
        <w:t>特殊教育學生的正向行為支持</w:t>
      </w:r>
      <w:r w:rsidRPr="009B4261">
        <w:rPr>
          <w:rFonts w:eastAsia="標楷體"/>
          <w:color w:val="A6A6A6"/>
        </w:rPr>
        <w:t>。新北市：心理。</w:t>
      </w:r>
    </w:p>
    <w:p w:rsidR="00EB0C52" w:rsidRPr="00E33F5B" w:rsidRDefault="00EB0C52" w:rsidP="00EB0C52">
      <w:pPr>
        <w:widowControl/>
        <w:jc w:val="center"/>
        <w:rPr>
          <w:rFonts w:eastAsia="標楷體"/>
          <w:bCs/>
        </w:rPr>
      </w:pPr>
    </w:p>
    <w:p w:rsidR="008546A2" w:rsidRPr="00EB0C52" w:rsidRDefault="008546A2" w:rsidP="00EB0C52"/>
    <w:sectPr w:rsidR="008546A2" w:rsidRPr="00EB0C52" w:rsidSect="00767509">
      <w:headerReference w:type="default" r:id="rId6"/>
      <w:footerReference w:type="even" r:id="rId7"/>
      <w:footerReference w:type="default" r:id="rId8"/>
      <w:pgSz w:w="11906" w:h="16838"/>
      <w:pgMar w:top="851" w:right="284" w:bottom="851" w:left="284" w:header="35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D9" w:rsidRDefault="00530ED9" w:rsidP="00E57FA2">
      <w:r>
        <w:separator/>
      </w:r>
    </w:p>
  </w:endnote>
  <w:endnote w:type="continuationSeparator" w:id="0">
    <w:p w:rsidR="00530ED9" w:rsidRDefault="00530ED9" w:rsidP="00E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09" w:rsidRDefault="001A7FB5" w:rsidP="00F459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509" w:rsidRDefault="00530ED9" w:rsidP="004176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09" w:rsidRDefault="001A7FB5" w:rsidP="005A15DF">
    <w:pPr>
      <w:pStyle w:val="a5"/>
      <w:jc w:val="center"/>
    </w:pPr>
    <w:r w:rsidRPr="003F647B">
      <w:t xml:space="preserve">Page </w:t>
    </w:r>
    <w:r w:rsidRPr="003F647B">
      <w:fldChar w:fldCharType="begin"/>
    </w:r>
    <w:r w:rsidRPr="003F647B">
      <w:instrText xml:space="preserve"> PAGE </w:instrText>
    </w:r>
    <w:r w:rsidRPr="003F647B">
      <w:fldChar w:fldCharType="separate"/>
    </w:r>
    <w:r w:rsidR="007A0EA8">
      <w:rPr>
        <w:noProof/>
      </w:rPr>
      <w:t>1</w:t>
    </w:r>
    <w:r w:rsidRPr="003F647B">
      <w:fldChar w:fldCharType="end"/>
    </w:r>
    <w:r w:rsidRPr="003F64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A0E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D9" w:rsidRDefault="00530ED9" w:rsidP="00E57FA2">
      <w:r>
        <w:separator/>
      </w:r>
    </w:p>
  </w:footnote>
  <w:footnote w:type="continuationSeparator" w:id="0">
    <w:p w:rsidR="00530ED9" w:rsidRDefault="00530ED9" w:rsidP="00E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09" w:rsidRDefault="00530ED9" w:rsidP="005B3A40">
    <w:pPr>
      <w:pStyle w:val="a3"/>
      <w:ind w:right="600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8A"/>
    <w:rsid w:val="00060A57"/>
    <w:rsid w:val="00101276"/>
    <w:rsid w:val="00122926"/>
    <w:rsid w:val="001A7FB5"/>
    <w:rsid w:val="001E1902"/>
    <w:rsid w:val="002A3477"/>
    <w:rsid w:val="002B112B"/>
    <w:rsid w:val="00361948"/>
    <w:rsid w:val="00373975"/>
    <w:rsid w:val="00475C8A"/>
    <w:rsid w:val="004B4B22"/>
    <w:rsid w:val="00530ED9"/>
    <w:rsid w:val="006409FF"/>
    <w:rsid w:val="00720437"/>
    <w:rsid w:val="007A0EA8"/>
    <w:rsid w:val="008546A2"/>
    <w:rsid w:val="00867EE7"/>
    <w:rsid w:val="008F145C"/>
    <w:rsid w:val="008F7527"/>
    <w:rsid w:val="00922739"/>
    <w:rsid w:val="00961EF5"/>
    <w:rsid w:val="009B597E"/>
    <w:rsid w:val="00A44E4A"/>
    <w:rsid w:val="00A7058B"/>
    <w:rsid w:val="00B13566"/>
    <w:rsid w:val="00B72971"/>
    <w:rsid w:val="00C66C03"/>
    <w:rsid w:val="00C87FD5"/>
    <w:rsid w:val="00CD38E5"/>
    <w:rsid w:val="00CF13FA"/>
    <w:rsid w:val="00D00BC1"/>
    <w:rsid w:val="00D321CB"/>
    <w:rsid w:val="00D75F1D"/>
    <w:rsid w:val="00D76638"/>
    <w:rsid w:val="00D911AC"/>
    <w:rsid w:val="00DA7934"/>
    <w:rsid w:val="00DC38E9"/>
    <w:rsid w:val="00E57FA2"/>
    <w:rsid w:val="00E85F30"/>
    <w:rsid w:val="00EB0C52"/>
    <w:rsid w:val="00EB5DCB"/>
    <w:rsid w:val="00F53B21"/>
    <w:rsid w:val="00F70062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93144"/>
  <w15:docId w15:val="{F50AAAF1-ADB4-4233-9AC9-D409B6EE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8A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F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FA2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EB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一鑫 江</cp:lastModifiedBy>
  <cp:revision>3</cp:revision>
  <cp:lastPrinted>2019-11-18T02:02:00Z</cp:lastPrinted>
  <dcterms:created xsi:type="dcterms:W3CDTF">2021-06-20T07:02:00Z</dcterms:created>
  <dcterms:modified xsi:type="dcterms:W3CDTF">2021-08-13T06:38:00Z</dcterms:modified>
</cp:coreProperties>
</file>