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3" w:rsidRPr="00E66DFF" w:rsidRDefault="00507B0D" w:rsidP="00E66DFF">
      <w:pPr>
        <w:spacing w:beforeLines="50" w:before="180" w:afterLines="50" w:after="180"/>
        <w:rPr>
          <w:rFonts w:eastAsia="標楷體"/>
          <w:b/>
          <w:sz w:val="36"/>
          <w:szCs w:val="36"/>
        </w:rPr>
      </w:pPr>
      <w:r w:rsidRPr="00E66DFF">
        <w:rPr>
          <w:rFonts w:eastAsia="標楷體" w:hint="eastAsia"/>
          <w:b/>
          <w:sz w:val="36"/>
          <w:szCs w:val="36"/>
        </w:rPr>
        <w:t>國立嘉義特殊教育學校</w:t>
      </w:r>
      <w:r w:rsidR="00241393" w:rsidRPr="00E66DFF">
        <w:rPr>
          <w:rFonts w:eastAsia="標楷體"/>
          <w:b/>
          <w:sz w:val="36"/>
          <w:szCs w:val="36"/>
        </w:rPr>
        <w:t>危害鑑別風險評估執行辦法</w:t>
      </w:r>
    </w:p>
    <w:p w:rsidR="00507B0D" w:rsidRPr="00860CD6" w:rsidRDefault="002C21CB" w:rsidP="00507B0D">
      <w:pPr>
        <w:widowControl/>
        <w:snapToGrid w:val="0"/>
        <w:ind w:right="600"/>
        <w:jc w:val="right"/>
        <w:rPr>
          <w:rFonts w:eastAsia="標楷體"/>
        </w:rPr>
      </w:pPr>
      <w:r>
        <w:rPr>
          <w:rFonts w:eastAsia="標楷體" w:hint="eastAsia"/>
        </w:rPr>
        <w:t xml:space="preserve"> </w:t>
      </w:r>
      <w:r w:rsidR="00507B0D" w:rsidRPr="00860CD6">
        <w:rPr>
          <w:rFonts w:eastAsia="標楷體" w:hint="eastAsia"/>
        </w:rPr>
        <w:t>中華民國</w:t>
      </w:r>
      <w:r>
        <w:rPr>
          <w:rFonts w:eastAsia="標楷體" w:hint="eastAsia"/>
        </w:rPr>
        <w:t>109</w:t>
      </w:r>
      <w:r w:rsidR="00507B0D" w:rsidRPr="00860CD6">
        <w:rPr>
          <w:rFonts w:eastAsia="標楷體" w:hint="eastAsia"/>
        </w:rPr>
        <w:t>年</w:t>
      </w:r>
      <w:r>
        <w:rPr>
          <w:rFonts w:eastAsia="標楷體" w:hint="eastAsia"/>
        </w:rPr>
        <w:t>3</w:t>
      </w:r>
      <w:r w:rsidR="00507B0D" w:rsidRPr="00860CD6">
        <w:rPr>
          <w:rFonts w:eastAsia="標楷體" w:hint="eastAsia"/>
        </w:rPr>
        <w:t>月</w:t>
      </w:r>
      <w:r>
        <w:rPr>
          <w:rFonts w:eastAsia="標楷體" w:hint="eastAsia"/>
        </w:rPr>
        <w:t>25</w:t>
      </w:r>
      <w:r w:rsidR="00507B0D" w:rsidRPr="00860CD6">
        <w:rPr>
          <w:rFonts w:eastAsia="標楷體" w:hint="eastAsia"/>
        </w:rPr>
        <w:t>日行政會議通過</w:t>
      </w:r>
    </w:p>
    <w:p w:rsidR="00507B0D" w:rsidRPr="00860CD6" w:rsidRDefault="00507B0D" w:rsidP="00507B0D">
      <w:pPr>
        <w:widowControl/>
        <w:wordWrap w:val="0"/>
        <w:snapToGrid w:val="0"/>
        <w:ind w:right="532"/>
        <w:jc w:val="right"/>
        <w:rPr>
          <w:rFonts w:ascii="標楷體" w:eastAsia="標楷體" w:hAnsi="標楷體"/>
        </w:rPr>
      </w:pPr>
      <w:r w:rsidRPr="00860CD6">
        <w:rPr>
          <w:rFonts w:eastAsia="標楷體"/>
        </w:rPr>
        <w:t xml:space="preserve">          </w:t>
      </w:r>
      <w:r w:rsidR="00860CD6">
        <w:rPr>
          <w:rFonts w:eastAsia="標楷體"/>
        </w:rPr>
        <w:t xml:space="preserve">                  </w:t>
      </w:r>
      <w:r w:rsidRPr="00860CD6">
        <w:rPr>
          <w:rFonts w:ascii="標楷體" w:eastAsia="標楷體" w:hAnsi="標楷體" w:hint="eastAsia"/>
        </w:rPr>
        <w:t>中華民國</w:t>
      </w:r>
      <w:r w:rsidR="00B34E46" w:rsidRPr="00B34E46">
        <w:rPr>
          <w:rFonts w:ascii="標楷體" w:eastAsia="標楷體" w:hAnsi="標楷體" w:hint="eastAsia"/>
        </w:rPr>
        <w:t>109年3月28日</w:t>
      </w:r>
      <w:r w:rsidRPr="00860CD6">
        <w:rPr>
          <w:rFonts w:ascii="標楷體" w:eastAsia="標楷體" w:hAnsi="標楷體" w:hint="eastAsia"/>
        </w:rPr>
        <w:t>經校長核定後公布實</w:t>
      </w:r>
      <w:r w:rsidRPr="00860CD6">
        <w:rPr>
          <w:rFonts w:ascii="標楷體" w:eastAsia="標楷體" w:hAnsi="標楷體" w:hint="eastAsia"/>
          <w:lang w:eastAsia="zh-HK"/>
        </w:rPr>
        <w:t>行</w:t>
      </w:r>
    </w:p>
    <w:p w:rsidR="00507B0D" w:rsidRPr="00B34E46" w:rsidRDefault="00507B0D" w:rsidP="00507B0D">
      <w:pPr>
        <w:widowControl/>
        <w:snapToGrid w:val="0"/>
        <w:ind w:right="532"/>
        <w:jc w:val="right"/>
        <w:rPr>
          <w:rFonts w:eastAsia="標楷體"/>
          <w:b/>
          <w:sz w:val="40"/>
          <w:szCs w:val="40"/>
        </w:rPr>
      </w:pPr>
    </w:p>
    <w:p w:rsidR="00241393"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w:t>
      </w:r>
      <w:proofErr w:type="gramStart"/>
      <w:r w:rsidR="00D40DE1" w:rsidRPr="00253131">
        <w:rPr>
          <w:rFonts w:eastAsia="標楷體" w:hint="eastAsia"/>
        </w:rPr>
        <w:t>（</w:t>
      </w:r>
      <w:proofErr w:type="gramEnd"/>
      <w:r w:rsidR="00D40DE1" w:rsidRPr="00253131">
        <w:rPr>
          <w:rFonts w:eastAsia="標楷體" w:hint="eastAsia"/>
        </w:rPr>
        <w:t>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proofErr w:type="gramStart"/>
      <w:r w:rsidR="00D40DE1" w:rsidRPr="00253131">
        <w:rPr>
          <w:rFonts w:eastAsia="標楷體" w:hint="eastAsia"/>
        </w:rPr>
        <w:t>）</w:t>
      </w:r>
      <w:proofErr w:type="gramEnd"/>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範圍：</w:t>
      </w:r>
      <w:proofErr w:type="gramStart"/>
      <w:r w:rsidRPr="009B2B95">
        <w:rPr>
          <w:rFonts w:eastAsia="標楷體"/>
        </w:rPr>
        <w:t>凡</w:t>
      </w:r>
      <w:r w:rsidR="004767E9" w:rsidRPr="009B2B95">
        <w:rPr>
          <w:rFonts w:eastAsia="標楷體" w:hint="eastAsia"/>
        </w:rPr>
        <w:t>校</w:t>
      </w:r>
      <w:r w:rsidR="004767E9" w:rsidRPr="00253131">
        <w:rPr>
          <w:rFonts w:eastAsia="標楷體" w:hint="eastAsia"/>
        </w:rPr>
        <w:t>內</w:t>
      </w:r>
      <w:proofErr w:type="gramEnd"/>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B48F7">
      <w:pPr>
        <w:pStyle w:val="a3"/>
        <w:numPr>
          <w:ilvl w:val="0"/>
          <w:numId w:val="5"/>
        </w:numPr>
        <w:tabs>
          <w:tab w:val="left" w:pos="426"/>
        </w:tabs>
        <w:spacing w:line="360" w:lineRule="auto"/>
        <w:ind w:leftChars="0" w:left="567" w:hanging="567"/>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lastRenderedPageBreak/>
        <w:t>職業安全衛生</w:t>
      </w:r>
      <w:r w:rsidR="00241393" w:rsidRPr="009B2B95">
        <w:rPr>
          <w:rFonts w:eastAsia="標楷體"/>
          <w:b/>
        </w:rPr>
        <w:t>人員</w:t>
      </w:r>
      <w:r w:rsidR="00241393" w:rsidRPr="009B2B95">
        <w:rPr>
          <w:rFonts w:eastAsia="標楷體"/>
          <w:b/>
        </w:rPr>
        <w:t>/</w:t>
      </w:r>
      <w:r w:rsidRPr="009B2B95">
        <w:rPr>
          <w:rFonts w:eastAsia="標楷體" w:hint="eastAsia"/>
          <w:b/>
        </w:rPr>
        <w:t>職業安全衛生</w:t>
      </w:r>
      <w:r w:rsidR="00241BAD">
        <w:rPr>
          <w:rFonts w:eastAsia="標楷體" w:hint="eastAsia"/>
          <w:b/>
        </w:rPr>
        <w:t>承辦</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w:t>
      </w:r>
      <w:r w:rsidR="00241BAD">
        <w:rPr>
          <w:rFonts w:eastAsia="標楷體" w:hint="eastAsia"/>
        </w:rPr>
        <w:t>承辦</w:t>
      </w:r>
      <w:r w:rsidR="004D0AC1" w:rsidRPr="009B2B95">
        <w:rPr>
          <w:rFonts w:eastAsia="標楷體"/>
        </w:rPr>
        <w:t>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w:t>
      </w:r>
      <w:proofErr w:type="gramStart"/>
      <w:r w:rsidRPr="009B2B95">
        <w:rPr>
          <w:rFonts w:eastAsia="標楷體"/>
        </w:rPr>
        <w:t>ㄧ</w:t>
      </w:r>
      <w:proofErr w:type="gramEnd"/>
      <w:r w:rsidRPr="009B2B95">
        <w:rPr>
          <w:rFonts w:eastAsia="標楷體"/>
        </w:rPr>
        <w:t>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241BAD">
        <w:rPr>
          <w:rFonts w:eastAsia="標楷體" w:hint="eastAsia"/>
        </w:rPr>
        <w:t>作業</w:t>
      </w:r>
      <w:r w:rsidR="000D6CE2" w:rsidRPr="009B2B95">
        <w:rPr>
          <w:rFonts w:eastAsia="標楷體" w:hint="eastAsia"/>
        </w:rPr>
        <w:t>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lastRenderedPageBreak/>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w:t>
      </w:r>
      <w:proofErr w:type="gramStart"/>
      <w:r w:rsidRPr="009B2B95">
        <w:rPr>
          <w:rFonts w:eastAsia="標楷體"/>
        </w:rPr>
        <w:t>一</w:t>
      </w:r>
      <w:proofErr w:type="gramEnd"/>
      <w:r w:rsidRPr="009B2B95">
        <w:rPr>
          <w:rFonts w:eastAsia="標楷體"/>
        </w:rPr>
        <w:t>「風險評估表」；危害鑑別與評估準則如附表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w:t>
      </w:r>
      <w:r w:rsidR="00241BAD">
        <w:rPr>
          <w:rFonts w:eastAsia="標楷體" w:hint="eastAsia"/>
        </w:rPr>
        <w:t>承辦</w:t>
      </w:r>
      <w:r w:rsidR="00633111" w:rsidRPr="009B2B95">
        <w:rPr>
          <w:rFonts w:eastAsia="標楷體"/>
        </w:rPr>
        <w:t>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sidRPr="008F1BFB">
        <w:rPr>
          <w:rFonts w:eastAsia="標楷體" w:hint="eastAsia"/>
        </w:rPr>
        <w:t xml:space="preserve"> (</w:t>
      </w:r>
      <w:r w:rsidR="00D93B06" w:rsidRPr="008F1BFB">
        <w:rPr>
          <w:rFonts w:eastAsia="標楷體" w:hint="eastAsia"/>
        </w:rPr>
        <w:t>參考勞動部職業</w:t>
      </w:r>
      <w:proofErr w:type="gramStart"/>
      <w:r w:rsidR="00D93B06" w:rsidRPr="008F1BFB">
        <w:rPr>
          <w:rFonts w:eastAsia="標楷體" w:hint="eastAsia"/>
        </w:rPr>
        <w:t>安全衛生署官網</w:t>
      </w:r>
      <w:proofErr w:type="gramEnd"/>
      <w:r w:rsidR="00D93B06" w:rsidRPr="008F1BFB">
        <w:rPr>
          <w:rFonts w:eastAsia="標楷體" w:hint="eastAsia"/>
        </w:rPr>
        <w:t>發布之指引訂定</w:t>
      </w:r>
      <w:r w:rsidR="00D93B06" w:rsidRPr="008F1BFB">
        <w:rPr>
          <w:rFonts w:eastAsia="標楷體" w:hint="eastAsia"/>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w:t>
      </w:r>
      <w:proofErr w:type="gramStart"/>
      <w:r w:rsidRPr="009B2B95">
        <w:rPr>
          <w:rFonts w:eastAsia="標楷體"/>
          <w:snapToGrid w:val="0"/>
        </w:rPr>
        <w:t>一</w:t>
      </w:r>
      <w:proofErr w:type="gramEnd"/>
      <w:r w:rsidRPr="009B2B95">
        <w:rPr>
          <w:rFonts w:eastAsia="標楷體"/>
          <w:snapToGrid w:val="0"/>
        </w:rPr>
        <w:t>「</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Default="00241393" w:rsidP="0068295E">
      <w:pPr>
        <w:tabs>
          <w:tab w:val="left" w:pos="900"/>
        </w:tabs>
        <w:spacing w:line="360" w:lineRule="auto"/>
        <w:ind w:leftChars="295" w:left="708"/>
        <w:rPr>
          <w:rFonts w:eastAsia="標楷體"/>
          <w:bCs/>
        </w:r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BAD" w:rsidRDefault="00241BAD" w:rsidP="00241BAD">
      <w:pPr>
        <w:tabs>
          <w:tab w:val="left" w:pos="900"/>
        </w:tabs>
        <w:spacing w:line="360" w:lineRule="auto"/>
        <w:rPr>
          <w:rFonts w:eastAsia="標楷體"/>
          <w:bCs/>
        </w:rPr>
      </w:pPr>
    </w:p>
    <w:p w:rsidR="00241BAD" w:rsidRPr="00241BAD" w:rsidRDefault="00241BAD" w:rsidP="00241BAD">
      <w:pPr>
        <w:pStyle w:val="a3"/>
        <w:numPr>
          <w:ilvl w:val="0"/>
          <w:numId w:val="5"/>
        </w:numPr>
        <w:tabs>
          <w:tab w:val="left" w:pos="993"/>
        </w:tabs>
        <w:spacing w:line="360" w:lineRule="auto"/>
        <w:ind w:leftChars="0" w:hanging="57"/>
        <w:rPr>
          <w:rFonts w:eastAsia="標楷體"/>
          <w:b/>
        </w:rPr>
      </w:pPr>
      <w:r w:rsidRPr="00241BAD">
        <w:rPr>
          <w:rFonts w:eastAsia="標楷體" w:hint="eastAsia"/>
          <w:b/>
        </w:rPr>
        <w:t>本執行辦法</w:t>
      </w:r>
      <w:r>
        <w:rPr>
          <w:rFonts w:eastAsia="標楷體" w:hint="eastAsia"/>
          <w:b/>
        </w:rPr>
        <w:t>經本校行政會議通過，陳請校長核定後公布實施，修正時亦同。</w:t>
      </w:r>
    </w:p>
    <w:p w:rsidR="00241BAD" w:rsidRDefault="00241BAD" w:rsidP="00241BAD">
      <w:pPr>
        <w:tabs>
          <w:tab w:val="left" w:pos="900"/>
        </w:tabs>
        <w:spacing w:line="360" w:lineRule="auto"/>
        <w:rPr>
          <w:rFonts w:eastAsia="標楷體"/>
          <w:bCs/>
        </w:rPr>
      </w:pPr>
    </w:p>
    <w:p w:rsidR="00241BAD" w:rsidRPr="00241BAD" w:rsidRDefault="00241BAD" w:rsidP="00241BAD">
      <w:pPr>
        <w:pStyle w:val="a3"/>
        <w:numPr>
          <w:ilvl w:val="0"/>
          <w:numId w:val="5"/>
        </w:numPr>
        <w:tabs>
          <w:tab w:val="left" w:pos="426"/>
        </w:tabs>
        <w:spacing w:line="360" w:lineRule="auto"/>
        <w:ind w:leftChars="0"/>
        <w:rPr>
          <w:rFonts w:eastAsia="標楷體"/>
          <w:b/>
        </w:rPr>
        <w:sectPr w:rsidR="00241BAD" w:rsidRPr="00241BAD" w:rsidSect="00575315">
          <w:headerReference w:type="default" r:id="rId10"/>
          <w:footerReference w:type="default" r:id="rId11"/>
          <w:pgSz w:w="11906" w:h="16838"/>
          <w:pgMar w:top="1418" w:right="1418" w:bottom="1418" w:left="1418" w:header="851" w:footer="760" w:gutter="0"/>
          <w:cols w:space="425"/>
          <w:docGrid w:type="lines" w:linePitch="360"/>
        </w:sectPr>
      </w:pPr>
    </w:p>
    <w:p w:rsidR="00241393" w:rsidRPr="00A66C16" w:rsidRDefault="00241393" w:rsidP="00024A32">
      <w:pPr>
        <w:snapToGrid w:val="0"/>
        <w:spacing w:line="360" w:lineRule="auto"/>
        <w:jc w:val="center"/>
        <w:rPr>
          <w:rFonts w:eastAsia="標楷體"/>
          <w:b/>
          <w:bCs/>
          <w:sz w:val="28"/>
          <w:szCs w:val="28"/>
        </w:rPr>
      </w:pPr>
      <w:r w:rsidRPr="00A66C16">
        <w:rPr>
          <w:rFonts w:eastAsia="標楷體"/>
          <w:b/>
          <w:bCs/>
          <w:sz w:val="28"/>
          <w:szCs w:val="28"/>
        </w:rPr>
        <w:lastRenderedPageBreak/>
        <w:t>表</w:t>
      </w:r>
      <w:proofErr w:type="gramStart"/>
      <w:r w:rsidRPr="00A66C16">
        <w:rPr>
          <w:rFonts w:eastAsia="標楷體"/>
          <w:b/>
          <w:bCs/>
          <w:sz w:val="28"/>
          <w:szCs w:val="28"/>
        </w:rPr>
        <w:t>一</w:t>
      </w:r>
      <w:proofErr w:type="gramEnd"/>
      <w:r w:rsidRPr="00A66C16">
        <w:rPr>
          <w:rFonts w:eastAsia="標楷體"/>
          <w:b/>
          <w:bCs/>
          <w:sz w:val="28"/>
          <w:szCs w:val="28"/>
        </w:rPr>
        <w:t xml:space="preserve"> </w:t>
      </w:r>
      <w:r w:rsidRPr="00A66C16">
        <w:rPr>
          <w:rFonts w:eastAsia="標楷體"/>
          <w:b/>
          <w:bCs/>
          <w:sz w:val="28"/>
          <w:szCs w:val="28"/>
        </w:rPr>
        <w:t>風險評估表</w:t>
      </w:r>
    </w:p>
    <w:tbl>
      <w:tblPr>
        <w:tblW w:w="5260" w:type="pct"/>
        <w:tblInd w:w="-398" w:type="dxa"/>
        <w:tblCellMar>
          <w:left w:w="28" w:type="dxa"/>
          <w:right w:w="28" w:type="dxa"/>
        </w:tblCellMar>
        <w:tblLook w:val="04A0" w:firstRow="1" w:lastRow="0" w:firstColumn="1" w:lastColumn="0" w:noHBand="0" w:noVBand="1"/>
      </w:tblPr>
      <w:tblGrid>
        <w:gridCol w:w="2356"/>
        <w:gridCol w:w="1958"/>
        <w:gridCol w:w="1958"/>
        <w:gridCol w:w="1958"/>
        <w:gridCol w:w="2120"/>
        <w:gridCol w:w="1984"/>
        <w:gridCol w:w="2409"/>
      </w:tblGrid>
      <w:tr w:rsidR="009B2B95" w:rsidRPr="009B2B95" w:rsidTr="00A66C16">
        <w:trPr>
          <w:trHeight w:val="48"/>
        </w:trPr>
        <w:tc>
          <w:tcPr>
            <w:tcW w:w="799"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8C192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664" w:type="pct"/>
            <w:vMerge w:val="restart"/>
            <w:tcBorders>
              <w:top w:val="single" w:sz="8" w:space="0" w:color="auto"/>
              <w:left w:val="nil"/>
              <w:right w:val="single" w:sz="8" w:space="0" w:color="auto"/>
            </w:tcBorders>
            <w:shd w:val="clear" w:color="000000" w:fill="FFFFFF"/>
            <w:vAlign w:val="center"/>
          </w:tcPr>
          <w:p w:rsidR="006626C5" w:rsidRPr="002C21CB" w:rsidRDefault="000E6885" w:rsidP="00942FA7">
            <w:pPr>
              <w:jc w:val="center"/>
              <w:rPr>
                <w:rFonts w:eastAsia="標楷體"/>
                <w:b/>
                <w:kern w:val="0"/>
                <w:sz w:val="20"/>
                <w:szCs w:val="20"/>
              </w:rPr>
            </w:pPr>
            <w:r w:rsidRPr="002C21CB">
              <w:rPr>
                <w:rFonts w:eastAsia="標楷體" w:hint="eastAsia"/>
                <w:b/>
                <w:kern w:val="0"/>
                <w:sz w:val="20"/>
                <w:szCs w:val="20"/>
              </w:rPr>
              <w:t>場所</w:t>
            </w:r>
          </w:p>
        </w:tc>
        <w:tc>
          <w:tcPr>
            <w:tcW w:w="66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66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2209"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A66C16" w:rsidRPr="009B2B95" w:rsidTr="00A66C16">
        <w:trPr>
          <w:trHeight w:val="48"/>
        </w:trPr>
        <w:tc>
          <w:tcPr>
            <w:tcW w:w="799"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66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6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6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1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C21CB" w:rsidRDefault="00844224" w:rsidP="00942FA7">
            <w:pPr>
              <w:widowControl/>
              <w:jc w:val="center"/>
              <w:rPr>
                <w:rFonts w:eastAsia="標楷體"/>
                <w:b/>
                <w:kern w:val="0"/>
                <w:sz w:val="20"/>
                <w:szCs w:val="20"/>
              </w:rPr>
            </w:pPr>
            <w:r w:rsidRPr="002C21CB">
              <w:rPr>
                <w:rFonts w:eastAsia="標楷體" w:hint="eastAsia"/>
                <w:b/>
                <w:kern w:val="0"/>
                <w:sz w:val="20"/>
                <w:szCs w:val="20"/>
              </w:rPr>
              <w:t>場所</w:t>
            </w:r>
            <w:r w:rsidR="006626C5" w:rsidRPr="002C21CB">
              <w:rPr>
                <w:rFonts w:eastAsia="標楷體" w:hint="eastAsia"/>
                <w:b/>
                <w:kern w:val="0"/>
                <w:sz w:val="20"/>
                <w:szCs w:val="20"/>
              </w:rPr>
              <w:t>教師</w:t>
            </w:r>
          </w:p>
        </w:tc>
        <w:tc>
          <w:tcPr>
            <w:tcW w:w="673" w:type="pct"/>
            <w:tcBorders>
              <w:top w:val="single" w:sz="8" w:space="0" w:color="auto"/>
              <w:left w:val="nil"/>
              <w:bottom w:val="single" w:sz="4" w:space="0" w:color="auto"/>
              <w:right w:val="single" w:sz="8" w:space="0" w:color="000000"/>
            </w:tcBorders>
            <w:shd w:val="clear" w:color="auto" w:fill="auto"/>
            <w:noWrap/>
            <w:vAlign w:val="center"/>
          </w:tcPr>
          <w:p w:rsidR="006626C5" w:rsidRPr="002C21CB" w:rsidRDefault="008C1921" w:rsidP="006626C5">
            <w:pPr>
              <w:widowControl/>
              <w:jc w:val="center"/>
              <w:rPr>
                <w:rFonts w:eastAsia="標楷體"/>
                <w:b/>
                <w:kern w:val="0"/>
                <w:sz w:val="20"/>
                <w:szCs w:val="20"/>
              </w:rPr>
            </w:pPr>
            <w:r w:rsidRPr="002C21CB">
              <w:rPr>
                <w:rFonts w:eastAsia="標楷體" w:hint="eastAsia"/>
                <w:b/>
                <w:kern w:val="0"/>
                <w:sz w:val="20"/>
                <w:szCs w:val="20"/>
              </w:rPr>
              <w:t>單位</w:t>
            </w:r>
            <w:r w:rsidR="006626C5" w:rsidRPr="002C21CB">
              <w:rPr>
                <w:rFonts w:eastAsia="標楷體" w:hint="eastAsia"/>
                <w:b/>
                <w:kern w:val="0"/>
                <w:sz w:val="20"/>
                <w:szCs w:val="20"/>
              </w:rPr>
              <w:t>主管</w:t>
            </w:r>
          </w:p>
        </w:tc>
        <w:tc>
          <w:tcPr>
            <w:tcW w:w="817"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w:t>
            </w:r>
            <w:r w:rsidR="008A597F">
              <w:rPr>
                <w:rFonts w:eastAsia="標楷體" w:hint="eastAsia"/>
                <w:b/>
                <w:kern w:val="0"/>
                <w:sz w:val="20"/>
                <w:szCs w:val="20"/>
              </w:rPr>
              <w:t>承辦</w:t>
            </w:r>
            <w:bookmarkStart w:id="0" w:name="_GoBack"/>
            <w:bookmarkEnd w:id="0"/>
            <w:r w:rsidRPr="009B2B95">
              <w:rPr>
                <w:rFonts w:eastAsia="標楷體" w:hint="eastAsia"/>
                <w:b/>
                <w:kern w:val="0"/>
                <w:sz w:val="20"/>
                <w:szCs w:val="20"/>
              </w:rPr>
              <w:t>單位</w:t>
            </w:r>
          </w:p>
        </w:tc>
      </w:tr>
      <w:tr w:rsidR="00A66C16" w:rsidRPr="009B2B95" w:rsidTr="00A66C16">
        <w:trPr>
          <w:trHeight w:val="540"/>
        </w:trPr>
        <w:tc>
          <w:tcPr>
            <w:tcW w:w="799" w:type="pct"/>
            <w:tcBorders>
              <w:top w:val="nil"/>
              <w:left w:val="single" w:sz="4" w:space="0" w:color="auto"/>
              <w:bottom w:val="single" w:sz="8" w:space="0" w:color="auto"/>
              <w:right w:val="single" w:sz="8" w:space="0" w:color="auto"/>
            </w:tcBorders>
            <w:shd w:val="clear" w:color="auto" w:fill="auto"/>
            <w:noWrap/>
            <w:vAlign w:val="center"/>
          </w:tcPr>
          <w:p w:rsidR="006626C5" w:rsidRPr="002C21CB" w:rsidRDefault="008C1921" w:rsidP="007E72B5">
            <w:pPr>
              <w:widowControl/>
              <w:jc w:val="center"/>
              <w:rPr>
                <w:rFonts w:eastAsia="標楷體"/>
                <w:b/>
                <w:kern w:val="0"/>
                <w:sz w:val="20"/>
                <w:szCs w:val="20"/>
              </w:rPr>
            </w:pPr>
            <w:r w:rsidRPr="002C21CB">
              <w:rPr>
                <w:rFonts w:ascii="標楷體" w:eastAsia="標楷體" w:hAnsi="標楷體" w:hint="eastAsia"/>
                <w:b/>
                <w:kern w:val="0"/>
                <w:sz w:val="20"/>
                <w:szCs w:val="20"/>
              </w:rPr>
              <w:t>綜合職能科</w:t>
            </w:r>
          </w:p>
        </w:tc>
        <w:tc>
          <w:tcPr>
            <w:tcW w:w="66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6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6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1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73"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817"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65pt;height:341pt" o:ole="">
            <v:imagedata r:id="rId12" o:title=""/>
          </v:shape>
          <o:OLEObject Type="Embed" ProgID="Excel.Sheet.12" ShapeID="_x0000_i1025" DrawAspect="Content" ObjectID="_1656166924" r:id="rId13"/>
        </w:object>
      </w:r>
    </w:p>
    <w:p w:rsidR="00F5193B" w:rsidRPr="009B2B95" w:rsidRDefault="003133DA" w:rsidP="00A66C16">
      <w:pPr>
        <w:widowControl/>
        <w:jc w:val="center"/>
        <w:rPr>
          <w:rFonts w:eastAsia="標楷體"/>
          <w:b/>
          <w:bCs/>
        </w:rPr>
      </w:pPr>
      <w:r w:rsidRPr="009B2B95">
        <w:rPr>
          <w:rFonts w:eastAsia="標楷體"/>
          <w:sz w:val="20"/>
          <w:szCs w:val="20"/>
        </w:rPr>
        <w:br w:type="page"/>
      </w:r>
      <w:r w:rsidR="00612978">
        <w:rPr>
          <w:rFonts w:eastAsia="標楷體"/>
          <w:sz w:val="20"/>
          <w:szCs w:val="20"/>
        </w:rPr>
        <w:lastRenderedPageBreak/>
        <w:t xml:space="preserve"> </w:t>
      </w:r>
      <w:r w:rsidR="00F5193B" w:rsidRPr="009B2B95">
        <w:rPr>
          <w:rFonts w:eastAsia="標楷體" w:hint="eastAsia"/>
          <w:b/>
          <w:bCs/>
        </w:rPr>
        <w:t>表</w:t>
      </w:r>
      <w:proofErr w:type="gramStart"/>
      <w:r w:rsidR="00612978">
        <w:rPr>
          <w:rFonts w:eastAsia="標楷體" w:hint="eastAsia"/>
          <w:b/>
          <w:bCs/>
        </w:rPr>
        <w:t>一</w:t>
      </w:r>
      <w:proofErr w:type="gramEnd"/>
      <w:r w:rsidR="00F5193B" w:rsidRPr="009B2B95">
        <w:rPr>
          <w:rFonts w:eastAsia="標楷體" w:hint="eastAsia"/>
          <w:b/>
          <w:bCs/>
        </w:rPr>
        <w:t xml:space="preserve"> </w:t>
      </w:r>
      <w:r w:rsidR="00F5193B"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A66C16">
            <w:pPr>
              <w:pStyle w:val="a3"/>
              <w:numPr>
                <w:ilvl w:val="0"/>
                <w:numId w:val="15"/>
              </w:numPr>
              <w:spacing w:beforeLines="15" w:before="54" w:afterLines="15" w:after="54" w:line="360" w:lineRule="auto"/>
              <w:ind w:leftChars="73" w:left="602" w:hanging="427"/>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w:t>
            </w:r>
            <w:r w:rsidRPr="009B2B95">
              <w:rPr>
                <w:rFonts w:eastAsia="標楷體"/>
                <w:kern w:val="0"/>
              </w:rPr>
              <w:lastRenderedPageBreak/>
              <w:t>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lastRenderedPageBreak/>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w:t>
            </w:r>
            <w:r w:rsidRPr="009B2B95">
              <w:rPr>
                <w:rFonts w:eastAsia="標楷體"/>
                <w:kern w:val="0"/>
              </w:rPr>
              <w:lastRenderedPageBreak/>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EF" w:rsidRDefault="00344BEF" w:rsidP="00D40DE1">
      <w:r>
        <w:separator/>
      </w:r>
    </w:p>
  </w:endnote>
  <w:endnote w:type="continuationSeparator" w:id="0">
    <w:p w:rsidR="00344BEF" w:rsidRDefault="00344BEF"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8A597F" w:rsidRPr="008A597F">
      <w:rPr>
        <w:rFonts w:eastAsia="標楷體"/>
        <w:noProof/>
        <w:lang w:val="zh-TW"/>
      </w:rPr>
      <w:t>7</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5F0D38">
      <w:rPr>
        <w:rFonts w:eastAsia="標楷體"/>
        <w:noProof/>
      </w:rPr>
      <w:fldChar w:fldCharType="begin"/>
    </w:r>
    <w:r w:rsidR="005F0D38">
      <w:rPr>
        <w:rFonts w:eastAsia="標楷體"/>
        <w:noProof/>
      </w:rPr>
      <w:instrText xml:space="preserve"> NUMPAGES   \* MERGEFORMAT </w:instrText>
    </w:r>
    <w:r w:rsidR="005F0D38">
      <w:rPr>
        <w:rFonts w:eastAsia="標楷體"/>
        <w:noProof/>
      </w:rPr>
      <w:fldChar w:fldCharType="separate"/>
    </w:r>
    <w:r w:rsidR="008A597F">
      <w:rPr>
        <w:rFonts w:eastAsia="標楷體"/>
        <w:noProof/>
      </w:rPr>
      <w:t>15</w:t>
    </w:r>
    <w:r w:rsidR="005F0D3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EF" w:rsidRDefault="00344BEF" w:rsidP="00D40DE1">
      <w:r>
        <w:separator/>
      </w:r>
    </w:p>
  </w:footnote>
  <w:footnote w:type="continuationSeparator" w:id="0">
    <w:p w:rsidR="00344BEF" w:rsidRDefault="00344BEF" w:rsidP="00D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A" w:rsidRPr="00852D70" w:rsidRDefault="003133DA" w:rsidP="00786124">
    <w:pPr>
      <w:ind w:left="283" w:hangingChars="118" w:hanging="283"/>
      <w:rPr>
        <w:rFonts w:eastAsia="標楷體"/>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23BA5723"/>
    <w:multiLevelType w:val="hybridMultilevel"/>
    <w:tmpl w:val="599C09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7">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9">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1">
    <w:nsid w:val="46265744"/>
    <w:multiLevelType w:val="hybridMultilevel"/>
    <w:tmpl w:val="199E27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3">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7">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8">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6"/>
  </w:num>
  <w:num w:numId="3">
    <w:abstractNumId w:val="7"/>
  </w:num>
  <w:num w:numId="4">
    <w:abstractNumId w:val="15"/>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8"/>
  </w:num>
  <w:num w:numId="16">
    <w:abstractNumId w:val="12"/>
  </w:num>
  <w:num w:numId="17">
    <w:abstractNumId w:val="1"/>
  </w:num>
  <w:num w:numId="18">
    <w:abstractNumId w:val="10"/>
  </w:num>
  <w:num w:numId="19">
    <w:abstractNumId w:val="6"/>
  </w:num>
  <w:num w:numId="20">
    <w:abstractNumId w:val="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7465"/>
    <w:rsid w:val="000D6CE2"/>
    <w:rsid w:val="000E4050"/>
    <w:rsid w:val="000E6885"/>
    <w:rsid w:val="0014644A"/>
    <w:rsid w:val="001560AA"/>
    <w:rsid w:val="00180A85"/>
    <w:rsid w:val="001B7812"/>
    <w:rsid w:val="001B7D46"/>
    <w:rsid w:val="001D48E1"/>
    <w:rsid w:val="001E0B29"/>
    <w:rsid w:val="0020603B"/>
    <w:rsid w:val="002332E0"/>
    <w:rsid w:val="00235A88"/>
    <w:rsid w:val="00241393"/>
    <w:rsid w:val="00241BAD"/>
    <w:rsid w:val="00253131"/>
    <w:rsid w:val="002721EB"/>
    <w:rsid w:val="00276369"/>
    <w:rsid w:val="002866C6"/>
    <w:rsid w:val="002C21CB"/>
    <w:rsid w:val="002D1415"/>
    <w:rsid w:val="002F6226"/>
    <w:rsid w:val="003133DA"/>
    <w:rsid w:val="003167BD"/>
    <w:rsid w:val="0033527F"/>
    <w:rsid w:val="00340F87"/>
    <w:rsid w:val="003446C4"/>
    <w:rsid w:val="00344BEF"/>
    <w:rsid w:val="003749A2"/>
    <w:rsid w:val="00396C72"/>
    <w:rsid w:val="003A20BF"/>
    <w:rsid w:val="003A3D13"/>
    <w:rsid w:val="003F7CD2"/>
    <w:rsid w:val="004767E9"/>
    <w:rsid w:val="004855C7"/>
    <w:rsid w:val="004A1909"/>
    <w:rsid w:val="004D0AC1"/>
    <w:rsid w:val="004F795A"/>
    <w:rsid w:val="00507B0D"/>
    <w:rsid w:val="00575315"/>
    <w:rsid w:val="00583481"/>
    <w:rsid w:val="005923EC"/>
    <w:rsid w:val="005D6039"/>
    <w:rsid w:val="005F0D38"/>
    <w:rsid w:val="00607283"/>
    <w:rsid w:val="00612978"/>
    <w:rsid w:val="00633111"/>
    <w:rsid w:val="00643846"/>
    <w:rsid w:val="006449DB"/>
    <w:rsid w:val="006503C2"/>
    <w:rsid w:val="00661658"/>
    <w:rsid w:val="006626C5"/>
    <w:rsid w:val="00665CED"/>
    <w:rsid w:val="0068295E"/>
    <w:rsid w:val="00690C45"/>
    <w:rsid w:val="006A3673"/>
    <w:rsid w:val="006B25E5"/>
    <w:rsid w:val="006B6990"/>
    <w:rsid w:val="006F2B90"/>
    <w:rsid w:val="006F606D"/>
    <w:rsid w:val="006F73ED"/>
    <w:rsid w:val="00742827"/>
    <w:rsid w:val="00766390"/>
    <w:rsid w:val="00786124"/>
    <w:rsid w:val="007965D9"/>
    <w:rsid w:val="007B12F2"/>
    <w:rsid w:val="007B7E72"/>
    <w:rsid w:val="007D2A89"/>
    <w:rsid w:val="007E45C0"/>
    <w:rsid w:val="007E72B5"/>
    <w:rsid w:val="007F619F"/>
    <w:rsid w:val="00844224"/>
    <w:rsid w:val="00855535"/>
    <w:rsid w:val="00860CD6"/>
    <w:rsid w:val="00874ACC"/>
    <w:rsid w:val="008A597F"/>
    <w:rsid w:val="008C11F5"/>
    <w:rsid w:val="008C1921"/>
    <w:rsid w:val="008E0916"/>
    <w:rsid w:val="008E46A4"/>
    <w:rsid w:val="008F1BFB"/>
    <w:rsid w:val="009401D6"/>
    <w:rsid w:val="00942FA7"/>
    <w:rsid w:val="0097168E"/>
    <w:rsid w:val="00990BCD"/>
    <w:rsid w:val="009B2B95"/>
    <w:rsid w:val="009C27B4"/>
    <w:rsid w:val="009F56A0"/>
    <w:rsid w:val="00A157DA"/>
    <w:rsid w:val="00A37BFC"/>
    <w:rsid w:val="00A55E40"/>
    <w:rsid w:val="00A626F0"/>
    <w:rsid w:val="00A66C16"/>
    <w:rsid w:val="00A818D1"/>
    <w:rsid w:val="00A82B55"/>
    <w:rsid w:val="00B34E46"/>
    <w:rsid w:val="00BE4916"/>
    <w:rsid w:val="00C12F17"/>
    <w:rsid w:val="00C21874"/>
    <w:rsid w:val="00C43763"/>
    <w:rsid w:val="00C72A59"/>
    <w:rsid w:val="00C92E73"/>
    <w:rsid w:val="00CB6642"/>
    <w:rsid w:val="00CB79D2"/>
    <w:rsid w:val="00CF2C8D"/>
    <w:rsid w:val="00D218FA"/>
    <w:rsid w:val="00D40DE1"/>
    <w:rsid w:val="00D93B06"/>
    <w:rsid w:val="00D95704"/>
    <w:rsid w:val="00DB48F7"/>
    <w:rsid w:val="00DB5E8A"/>
    <w:rsid w:val="00DF10F9"/>
    <w:rsid w:val="00E15D77"/>
    <w:rsid w:val="00E23A91"/>
    <w:rsid w:val="00E423E6"/>
    <w:rsid w:val="00E66DFF"/>
    <w:rsid w:val="00E8297B"/>
    <w:rsid w:val="00EC660C"/>
    <w:rsid w:val="00EF2A4E"/>
    <w:rsid w:val="00F0006E"/>
    <w:rsid w:val="00F02978"/>
    <w:rsid w:val="00F10B84"/>
    <w:rsid w:val="00F14713"/>
    <w:rsid w:val="00F411AC"/>
    <w:rsid w:val="00F50685"/>
    <w:rsid w:val="00F5193B"/>
    <w:rsid w:val="00F630DE"/>
    <w:rsid w:val="00FA5B8E"/>
    <w:rsid w:val="00FB0227"/>
    <w:rsid w:val="00FB6B0A"/>
    <w:rsid w:val="00FC3EBC"/>
    <w:rsid w:val="00FD1308"/>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 w:id="21160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Excel_2007____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D9C6-FE0E-4B29-83C0-AE32AF82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1004</Words>
  <Characters>5724</Characters>
  <Application>Microsoft Office Word</Application>
  <DocSecurity>0</DocSecurity>
  <Lines>47</Lines>
  <Paragraphs>13</Paragraphs>
  <ScaleCrop>false</ScaleCrop>
  <Company>HOME</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蘇秋旭</cp:lastModifiedBy>
  <cp:revision>27</cp:revision>
  <cp:lastPrinted>2020-07-08T07:39:00Z</cp:lastPrinted>
  <dcterms:created xsi:type="dcterms:W3CDTF">2016-12-27T05:49:00Z</dcterms:created>
  <dcterms:modified xsi:type="dcterms:W3CDTF">2020-07-13T09:36:00Z</dcterms:modified>
</cp:coreProperties>
</file>